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media/image1.jpeg" ContentType="image/jpeg"/>
  <Override PartName="/word/header3.xml" ContentType="application/vnd.openxmlformats-officedocument.wordprocessingml.header+xml"/>
  <Override PartName="/word/footer2.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word/_rels/header3.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tbl>
      <w:tblPr>
        <w:tblW w:w="9072" w:type="dxa"/>
        <w:jc w:val="left"/>
        <w:tblInd w:w="-5" w:type="dxa"/>
        <w:tblLayout w:type="fixed"/>
        <w:tblCellMar>
          <w:top w:w="0" w:type="dxa"/>
          <w:left w:w="70" w:type="dxa"/>
          <w:bottom w:w="0" w:type="dxa"/>
          <w:right w:w="70" w:type="dxa"/>
        </w:tblCellMar>
        <w:tblLook w:firstRow="0" w:noVBand="0" w:lastRow="0" w:firstColumn="0" w:lastColumn="0" w:noHBand="0" w:val="0000"/>
      </w:tblPr>
      <w:tblGrid>
        <w:gridCol w:w="9072"/>
      </w:tblGrid>
      <w:tr>
        <w:trPr>
          <w:trHeight w:val="624" w:hRule="atLeast"/>
        </w:trPr>
        <w:tc>
          <w:tcPr>
            <w:tcW w:w="9072"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before="0" w:after="0"/>
              <w:rPr>
                <w:rFonts w:ascii="Arial" w:hAnsi="Arial" w:cs="Arial"/>
                <w:sz w:val="24"/>
                <w:szCs w:val="24"/>
                <w:lang w:val="de-DE"/>
              </w:rPr>
            </w:pPr>
            <w:r>
              <w:rPr>
                <w:rFonts w:cs="Arial" w:ascii="Arial" w:hAnsi="Arial"/>
                <w:sz w:val="24"/>
                <w:szCs w:val="24"/>
                <w:lang w:val="de-DE"/>
              </w:rPr>
            </w:r>
          </w:p>
          <w:p>
            <w:pPr>
              <w:pStyle w:val="Normal"/>
              <w:jc w:val="center"/>
              <w:rPr>
                <w:rFonts w:ascii="Arial" w:hAnsi="Arial" w:cs="Arial"/>
                <w:b/>
                <w:caps/>
                <w:sz w:val="24"/>
                <w:szCs w:val="24"/>
                <w:lang w:val="de-DE"/>
              </w:rPr>
            </w:pPr>
            <w:r>
              <w:rPr>
                <w:rFonts w:cs="Arial" w:ascii="Arial" w:hAnsi="Arial"/>
                <w:b/>
                <w:caps/>
                <w:sz w:val="24"/>
                <w:szCs w:val="24"/>
                <w:lang w:val="de-DE"/>
              </w:rPr>
            </w:r>
          </w:p>
          <w:p>
            <w:pPr>
              <w:pStyle w:val="Normal"/>
              <w:jc w:val="center"/>
              <w:rPr>
                <w:rFonts w:ascii="Arial" w:hAnsi="Arial" w:eastAsia="" w:cs="Arial" w:eastAsiaTheme="majorEastAsia"/>
                <w:b/>
                <w:bCs/>
                <w:caps/>
                <w:sz w:val="24"/>
                <w:szCs w:val="24"/>
                <w:lang w:val="de-DE"/>
              </w:rPr>
            </w:pPr>
            <w:r>
              <w:rPr>
                <w:rFonts w:eastAsia="" w:cs="Arial" w:ascii="Arial" w:hAnsi="Arial" w:eastAsiaTheme="majorEastAsia"/>
                <w:b/>
                <w:bCs/>
                <w:caps/>
                <w:sz w:val="24"/>
                <w:szCs w:val="24"/>
                <w:lang w:val="de-DE"/>
              </w:rPr>
              <w:t>Bericht über den Beirat für die</w:t>
            </w:r>
          </w:p>
          <w:p>
            <w:pPr>
              <w:pStyle w:val="Normal"/>
              <w:jc w:val="center"/>
              <w:rPr>
                <w:rFonts w:ascii="Arial" w:hAnsi="Arial" w:eastAsia="" w:cs="Arial" w:eastAsiaTheme="majorEastAsia"/>
                <w:b/>
                <w:bCs/>
                <w:caps/>
                <w:sz w:val="24"/>
                <w:szCs w:val="24"/>
                <w:lang w:val="de-DE"/>
              </w:rPr>
            </w:pPr>
            <w:r>
              <w:rPr>
                <w:rFonts w:eastAsia="" w:cs="Arial" w:ascii="Arial" w:hAnsi="Arial" w:eastAsiaTheme="majorEastAsia"/>
                <w:b/>
                <w:bCs/>
                <w:caps/>
                <w:sz w:val="24"/>
                <w:szCs w:val="24"/>
                <w:lang w:val="de-DE"/>
              </w:rPr>
              <w:t>Geräte- und Speichermedienvergütung</w:t>
            </w:r>
          </w:p>
          <w:p>
            <w:pPr>
              <w:pStyle w:val="Normal"/>
              <w:jc w:val="center"/>
              <w:rPr>
                <w:rFonts w:ascii="Arial" w:hAnsi="Arial" w:eastAsia="" w:cs="Arial" w:eastAsiaTheme="majorEastAsia"/>
                <w:b/>
                <w:bCs/>
                <w:caps/>
                <w:sz w:val="24"/>
                <w:szCs w:val="24"/>
                <w:lang w:val="de-DE"/>
              </w:rPr>
            </w:pPr>
            <w:r>
              <w:rPr>
                <w:rFonts w:eastAsia="" w:cs="Arial" w:ascii="Arial" w:hAnsi="Arial" w:eastAsiaTheme="majorEastAsia"/>
                <w:b/>
                <w:bCs/>
                <w:caps/>
                <w:sz w:val="24"/>
                <w:szCs w:val="24"/>
                <w:lang w:val="de-DE"/>
              </w:rPr>
              <w:t>für das jahr 2025</w:t>
            </w:r>
          </w:p>
          <w:p>
            <w:pPr>
              <w:pStyle w:val="Normal"/>
              <w:spacing w:before="0" w:after="200"/>
              <w:jc w:val="center"/>
              <w:rPr>
                <w:rFonts w:ascii="Arial" w:hAnsi="Arial" w:cs="Arial"/>
                <w:sz w:val="24"/>
                <w:szCs w:val="24"/>
              </w:rPr>
            </w:pPr>
            <w:r>
              <w:rPr>
                <w:rFonts w:cs="Arial" w:ascii="Arial" w:hAnsi="Arial"/>
                <w:sz w:val="24"/>
                <w:szCs w:val="24"/>
              </w:rPr>
            </w:r>
          </w:p>
        </w:tc>
      </w:tr>
    </w:tbl>
    <w:p>
      <w:pPr>
        <w:pStyle w:val="Normal"/>
        <w:jc w:val="both"/>
        <w:rPr>
          <w:rFonts w:ascii="Arial" w:hAnsi="Arial" w:eastAsia="" w:cs="Arial" w:eastAsiaTheme="majorEastAsia"/>
          <w:b/>
          <w:bCs/>
          <w:caps/>
          <w:sz w:val="20"/>
          <w:szCs w:val="28"/>
          <w:lang w:val="de-DE"/>
        </w:rPr>
      </w:pPr>
      <w:r>
        <w:rPr>
          <w:rFonts w:eastAsia="" w:cs="Arial" w:eastAsiaTheme="majorEastAsia" w:ascii="Arial" w:hAnsi="Arial"/>
          <w:b/>
          <w:bCs/>
          <w:caps/>
          <w:sz w:val="20"/>
          <w:szCs w:val="28"/>
          <w:lang w:val="de-DE"/>
        </w:rPr>
      </w:r>
    </w:p>
    <w:p>
      <w:pPr>
        <w:pStyle w:val="Normal"/>
        <w:jc w:val="both"/>
        <w:rPr>
          <w:rFonts w:ascii="Arial" w:hAnsi="Arial" w:cs="Arial"/>
          <w:sz w:val="20"/>
        </w:rPr>
      </w:pPr>
      <w:r>
        <w:rPr>
          <w:rFonts w:cs="Arial" w:ascii="Arial" w:hAnsi="Arial"/>
          <w:sz w:val="20"/>
        </w:rPr>
        <w:t xml:space="preserve">Der Beirat setzt sich aus Vertretern der die Vergütungen einhebenden Verwertungsgesellschaften und der Nutzerorganisationen zusammen und wird bei der Erfüllung seiner Aufgaben von der Aufsichtsbehörde für Verwertungsgesellschaften als Geschäftsstelle unterstützt. </w:t>
      </w:r>
    </w:p>
    <w:p>
      <w:pPr>
        <w:pStyle w:val="Normal"/>
        <w:jc w:val="both"/>
        <w:rPr>
          <w:rFonts w:ascii="Arial" w:hAnsi="Arial" w:cs="Arial"/>
          <w:sz w:val="20"/>
        </w:rPr>
      </w:pPr>
      <w:r>
        <w:rPr>
          <w:rFonts w:cs="Arial" w:ascii="Arial" w:hAnsi="Arial"/>
          <w:sz w:val="20"/>
        </w:rPr>
        <w:t>Von einer regelmäßigen, quartalsweisen Abhaltung der Sitzungen wurde abgegangen. Der Beirat wird nunmehr lediglich dann einberufen, wenn dies von einem Mitglied gewünscht wird.</w:t>
      </w:r>
    </w:p>
    <w:p>
      <w:pPr>
        <w:pStyle w:val="Normal"/>
        <w:jc w:val="both"/>
        <w:rPr>
          <w:rFonts w:ascii="Arial" w:hAnsi="Arial" w:cs="Arial"/>
          <w:sz w:val="20"/>
        </w:rPr>
      </w:pPr>
      <w:r>
        <w:rPr>
          <w:rFonts w:cs="Arial" w:ascii="Arial" w:hAnsi="Arial"/>
          <w:sz w:val="20"/>
        </w:rPr>
        <w:t xml:space="preserve">Im Jahr 2025 hielt der Beirat für die Geräte- und Speichermedienvergütung zwei Sitzungen, nämlich am 3. März sowie am 16. Oktober, ab. </w:t>
      </w:r>
    </w:p>
    <w:p>
      <w:pPr>
        <w:pStyle w:val="Normal"/>
        <w:jc w:val="both"/>
        <w:rPr>
          <w:rFonts w:ascii="Arial" w:hAnsi="Arial" w:cs="Arial"/>
          <w:sz w:val="20"/>
        </w:rPr>
      </w:pPr>
      <w:r>
        <w:rPr>
          <w:rFonts w:cs="Arial" w:ascii="Arial" w:hAnsi="Arial"/>
          <w:sz w:val="20"/>
        </w:rPr>
        <w:t>Folgende Themen wurden erörtert:</w:t>
      </w:r>
    </w:p>
    <w:p>
      <w:pPr>
        <w:pStyle w:val="ListParagraph"/>
        <w:keepNext w:val="true"/>
        <w:numPr>
          <w:ilvl w:val="0"/>
          <w:numId w:val="1"/>
        </w:numPr>
        <w:spacing w:before="480" w:after="240"/>
        <w:ind w:hanging="425" w:left="425"/>
        <w:contextualSpacing w:val="false"/>
        <w:jc w:val="both"/>
        <w:rPr>
          <w:rFonts w:ascii="Arial" w:hAnsi="Arial" w:cs="Arial"/>
          <w:b/>
          <w:sz w:val="20"/>
        </w:rPr>
      </w:pPr>
      <w:r>
        <w:rPr>
          <w:rFonts w:cs="Arial" w:ascii="Arial" w:hAnsi="Arial"/>
          <w:b/>
          <w:sz w:val="20"/>
        </w:rPr>
        <w:t>Vorabfreistellungen</w:t>
      </w:r>
    </w:p>
    <w:p>
      <w:pPr>
        <w:pStyle w:val="ListParagraph"/>
        <w:numPr>
          <w:ilvl w:val="0"/>
          <w:numId w:val="2"/>
        </w:numPr>
        <w:spacing w:before="0" w:after="200"/>
        <w:ind w:hanging="425" w:left="425"/>
        <w:contextualSpacing w:val="false"/>
        <w:jc w:val="both"/>
        <w:rPr>
          <w:rFonts w:ascii="Arial" w:hAnsi="Arial" w:cs="Arial"/>
          <w:sz w:val="20"/>
        </w:rPr>
      </w:pPr>
      <w:r>
        <w:rPr>
          <w:rFonts w:cs="Arial" w:ascii="Arial" w:hAnsi="Arial"/>
          <w:sz w:val="20"/>
        </w:rPr>
        <w:t>Wenn Geräte / Medien rein gewerblich genutzt werden, findet nach EU-Recht die Ausnahme für die Privatvergütung keine Anwendung. In der Praxis ist es in Österreich jedoch so, dass der Importeur sich exkulpieren muss, was aus europarechtlicher Sicht fragwürdig sei. Anders sei dies jedoch in der Praxis nicht handhabbar, erst recht nicht im indirekten Vertrieb. Pro futuro wird angeregt, das Vorabfreistellungsformular für die Importeure von gewerblich genutzten Speichermedien „onlinefit“ zu machen und die derzeitige Regelung zu überarbeiten bzw. Lösungsansätze aus anderen Staaten zu übernehmen.</w:t>
      </w:r>
    </w:p>
    <w:p>
      <w:pPr>
        <w:pStyle w:val="ListParagraph"/>
        <w:numPr>
          <w:ilvl w:val="0"/>
          <w:numId w:val="2"/>
        </w:numPr>
        <w:spacing w:before="0" w:after="200"/>
        <w:ind w:hanging="425" w:left="425"/>
        <w:contextualSpacing w:val="false"/>
        <w:jc w:val="both"/>
        <w:rPr>
          <w:rFonts w:ascii="Arial" w:hAnsi="Arial" w:cs="Arial"/>
          <w:sz w:val="20"/>
        </w:rPr>
      </w:pPr>
      <w:r>
        <w:rPr>
          <w:rFonts w:cs="Arial" w:ascii="Arial" w:hAnsi="Arial"/>
          <w:sz w:val="20"/>
        </w:rPr>
        <w:t>Bzgl. der Unzulässigkeit der Einhebung beim Verkauf an gewerbliche Endkunden wird auf das OGH-Urteil im Amazon-Verfahren von 2017 verwiesen.</w:t>
      </w:r>
    </w:p>
    <w:p>
      <w:pPr>
        <w:pStyle w:val="ListParagraph"/>
        <w:keepNext w:val="true"/>
        <w:numPr>
          <w:ilvl w:val="0"/>
          <w:numId w:val="1"/>
        </w:numPr>
        <w:spacing w:before="480" w:after="240"/>
        <w:ind w:hanging="425" w:left="425"/>
        <w:contextualSpacing w:val="false"/>
        <w:jc w:val="both"/>
        <w:rPr>
          <w:rFonts w:ascii="Arial" w:hAnsi="Arial" w:cs="Arial"/>
          <w:b/>
          <w:sz w:val="20"/>
        </w:rPr>
      </w:pPr>
      <w:r>
        <w:rPr>
          <w:rFonts w:cs="Arial" w:ascii="Arial" w:hAnsi="Arial"/>
          <w:b/>
          <w:sz w:val="20"/>
        </w:rPr>
        <w:t>Wettbewerbsgleichheit / Level Playing Field (Stichwort TEMU, Shein)</w:t>
      </w:r>
    </w:p>
    <w:p>
      <w:pPr>
        <w:pStyle w:val="ListParagraph"/>
        <w:numPr>
          <w:ilvl w:val="0"/>
          <w:numId w:val="2"/>
        </w:numPr>
        <w:spacing w:before="0" w:after="200"/>
        <w:ind w:hanging="425" w:left="425"/>
        <w:contextualSpacing w:val="false"/>
        <w:jc w:val="both"/>
        <w:rPr>
          <w:rFonts w:ascii="Arial" w:hAnsi="Arial" w:cs="Arial"/>
          <w:sz w:val="20"/>
        </w:rPr>
      </w:pPr>
      <w:r>
        <w:rPr>
          <w:rFonts w:cs="Arial" w:ascii="Arial" w:hAnsi="Arial"/>
          <w:sz w:val="20"/>
        </w:rPr>
        <w:t>Das Thema ist für die Verwertungsgesellschaften und die Wirtschaft gleichermaßen akut. Derzeit ist Amazon hinsichtlich der letzten drei Jahre in Prüfung. Es sind mehrere Verfahren anhängig, besonders mit deutschen Unternehmen.</w:t>
      </w:r>
    </w:p>
    <w:p>
      <w:pPr>
        <w:pStyle w:val="ListParagraph"/>
        <w:keepNext w:val="true"/>
        <w:numPr>
          <w:ilvl w:val="0"/>
          <w:numId w:val="1"/>
        </w:numPr>
        <w:spacing w:before="480" w:after="240"/>
        <w:ind w:hanging="425" w:left="425"/>
        <w:contextualSpacing w:val="false"/>
        <w:jc w:val="both"/>
        <w:rPr>
          <w:rFonts w:ascii="Arial" w:hAnsi="Arial" w:cs="Arial"/>
          <w:b/>
          <w:sz w:val="20"/>
        </w:rPr>
      </w:pPr>
      <w:r>
        <w:rPr>
          <w:rFonts w:cs="Arial" w:ascii="Arial" w:hAnsi="Arial"/>
          <w:b/>
          <w:sz w:val="20"/>
        </w:rPr>
        <w:t>Audits</w:t>
      </w:r>
    </w:p>
    <w:p>
      <w:pPr>
        <w:pStyle w:val="Normal"/>
        <w:jc w:val="both"/>
        <w:rPr>
          <w:rFonts w:ascii="Arial" w:hAnsi="Arial" w:cs="Arial"/>
          <w:sz w:val="20"/>
        </w:rPr>
      </w:pPr>
      <w:r>
        <w:rPr>
          <w:rFonts w:cs="Arial" w:ascii="Arial" w:hAnsi="Arial"/>
          <w:sz w:val="20"/>
        </w:rPr>
        <w:t xml:space="preserve">Es werden ca. 25-30 Prüfungen pro Jahr durchgeführt, wobei 1-2 lange dauern (oft aufgrund von Verzögerungen bei der Vorlage von Unterlagen) und 23 relativ kurz sind. Seitens der Nutzer wurde der Wunsch geäußert, den Umfang der geforderten Unterlagen auf das Notwendige zu beschränken. </w:t>
      </w:r>
    </w:p>
    <w:p>
      <w:pPr>
        <w:pStyle w:val="ListParagraph"/>
        <w:keepNext w:val="true"/>
        <w:numPr>
          <w:ilvl w:val="0"/>
          <w:numId w:val="1"/>
        </w:numPr>
        <w:spacing w:before="480" w:after="240"/>
        <w:ind w:hanging="425" w:left="425"/>
        <w:contextualSpacing w:val="false"/>
        <w:jc w:val="both"/>
        <w:rPr>
          <w:rFonts w:ascii="Arial" w:hAnsi="Arial" w:cs="Arial"/>
          <w:b/>
          <w:sz w:val="20"/>
        </w:rPr>
      </w:pPr>
      <w:r>
        <w:rPr>
          <w:rFonts w:cs="Arial" w:ascii="Arial" w:hAnsi="Arial"/>
          <w:b/>
          <w:sz w:val="20"/>
        </w:rPr>
        <w:t>Auslegung des GV zu Festplatten</w:t>
      </w:r>
    </w:p>
    <w:p>
      <w:pPr>
        <w:pStyle w:val="Normal"/>
        <w:jc w:val="both"/>
        <w:rPr>
          <w:rFonts w:ascii="Arial" w:hAnsi="Arial" w:cs="Arial"/>
          <w:sz w:val="20"/>
        </w:rPr>
      </w:pPr>
      <w:r>
        <w:rPr>
          <w:rFonts w:cs="Arial" w:ascii="Arial" w:hAnsi="Arial"/>
          <w:sz w:val="20"/>
        </w:rPr>
        <w:t>Das Thema „mehrere Festplatten in einem importierten PC“ soll noch besprochen werden.</w:t>
      </w:r>
    </w:p>
    <w:p>
      <w:pPr>
        <w:pStyle w:val="ListParagraph"/>
        <w:keepNext w:val="true"/>
        <w:numPr>
          <w:ilvl w:val="0"/>
          <w:numId w:val="1"/>
        </w:numPr>
        <w:spacing w:before="480" w:after="240"/>
        <w:ind w:hanging="425" w:left="425"/>
        <w:contextualSpacing w:val="false"/>
        <w:jc w:val="both"/>
        <w:rPr>
          <w:rFonts w:ascii="Arial" w:hAnsi="Arial" w:cs="Arial"/>
          <w:b/>
          <w:sz w:val="20"/>
        </w:rPr>
      </w:pPr>
      <w:r>
        <w:rPr>
          <w:rFonts w:cs="Arial" w:ascii="Arial" w:hAnsi="Arial"/>
          <w:b/>
          <w:sz w:val="20"/>
        </w:rPr>
        <w:t>Speichermedienvergütung bei Refurbished-Geräten</w:t>
      </w:r>
    </w:p>
    <w:p>
      <w:pPr>
        <w:pStyle w:val="Normal"/>
        <w:ind w:left="425"/>
        <w:jc w:val="both"/>
        <w:rPr>
          <w:rFonts w:ascii="Arial" w:hAnsi="Arial" w:cs="Arial"/>
          <w:sz w:val="20"/>
        </w:rPr>
      </w:pPr>
      <w:r>
        <w:rPr>
          <w:rFonts w:cs="Arial" w:ascii="Arial" w:hAnsi="Arial"/>
          <w:sz w:val="20"/>
        </w:rPr>
        <w:t>Bei mehreren laufenden Verfahren zu Refurbished-Geräten ist der Streitpunkt, ob beim gewerblichen Weiterverkauf gebrauchter, aufbereiteter Geräte aus dem Ausland SMV anfällt. Man einigte sich darauf, dass die SMV bei erstmaligem Inverkehrbringen von Refurbished-Geräten in Österreich sowie bei im Inland bereits vergüteten Geräten mit neu eingebauten Speichermedien anfällt. Strittig ist, ob bei schon in Österreich vergüteten Geräten beim erneuten gewerblichen Inverkehrbringen nochmals SMV zu zahlen sein soll. Eine ausdrückliche gesetzliche Grundlage für eine generelle Zweitvergütung wurde nicht festgestellt.</w:t>
      </w:r>
    </w:p>
    <w:p>
      <w:pPr>
        <w:pStyle w:val="Normal"/>
        <w:ind w:left="425"/>
        <w:jc w:val="both"/>
        <w:rPr>
          <w:rFonts w:ascii="Arial" w:hAnsi="Arial" w:cs="Arial"/>
          <w:sz w:val="20"/>
        </w:rPr>
      </w:pPr>
      <w:r>
        <w:rPr>
          <w:rFonts w:cs="Arial" w:ascii="Arial" w:hAnsi="Arial"/>
          <w:sz w:val="20"/>
        </w:rPr>
      </w:r>
    </w:p>
    <w:p>
      <w:pPr>
        <w:pStyle w:val="Normal"/>
        <w:ind w:left="425"/>
        <w:jc w:val="both"/>
        <w:rPr>
          <w:rFonts w:ascii="Arial" w:hAnsi="Arial" w:cs="Arial"/>
          <w:sz w:val="20"/>
        </w:rPr>
      </w:pPr>
      <w:r>
        <w:rPr>
          <w:rFonts w:cs="Arial" w:ascii="Arial" w:hAnsi="Arial"/>
          <w:sz w:val="20"/>
        </w:rPr>
      </w:r>
    </w:p>
    <w:p>
      <w:pPr>
        <w:pStyle w:val="Normal"/>
        <w:ind w:left="425"/>
        <w:jc w:val="both"/>
        <w:rPr>
          <w:rFonts w:ascii="Arial" w:hAnsi="Arial" w:cs="Arial"/>
          <w:sz w:val="20"/>
        </w:rPr>
      </w:pPr>
      <w:r>
        <w:rPr>
          <w:rFonts w:cs="Arial" w:ascii="Arial" w:hAnsi="Arial"/>
          <w:sz w:val="20"/>
        </w:rPr>
      </w:r>
    </w:p>
    <w:p>
      <w:pPr>
        <w:pStyle w:val="Normal"/>
        <w:ind w:left="425"/>
        <w:jc w:val="both"/>
        <w:rPr>
          <w:rFonts w:ascii="Arial" w:hAnsi="Arial" w:cs="Arial"/>
          <w:sz w:val="20"/>
        </w:rPr>
      </w:pPr>
      <w:r>
        <w:rPr>
          <w:rFonts w:cs="Arial" w:ascii="Arial" w:hAnsi="Arial"/>
          <w:sz w:val="20"/>
        </w:rPr>
      </w:r>
    </w:p>
    <w:p>
      <w:pPr>
        <w:pStyle w:val="Normal"/>
        <w:spacing w:before="0" w:after="200"/>
        <w:ind w:left="425"/>
        <w:jc w:val="both"/>
        <w:rPr>
          <w:rFonts w:ascii="Arial" w:hAnsi="Arial" w:cs="Arial"/>
          <w:sz w:val="20"/>
        </w:rPr>
      </w:pPr>
      <w:r>
        <w:rPr>
          <w:rFonts w:cs="Arial" w:ascii="Arial" w:hAnsi="Arial"/>
          <w:sz w:val="20"/>
        </w:rPr>
      </w:r>
    </w:p>
    <w:sectPr>
      <w:headerReference w:type="even" r:id="rId2"/>
      <w:headerReference w:type="default" r:id="rId3"/>
      <w:headerReference w:type="first" r:id="rId4"/>
      <w:footerReference w:type="even" r:id="rId5"/>
      <w:footerReference w:type="default" r:id="rId6"/>
      <w:footerReference w:type="first" r:id="rId7"/>
      <w:type w:val="nextPage"/>
      <w:pgSz w:w="11906" w:h="16838"/>
      <w:pgMar w:left="1417" w:right="1417" w:gutter="0" w:header="708" w:top="1417" w:footer="708" w:bottom="765"/>
      <w:pgNumType w:fmt="decimal"/>
      <w:formProt w:val="false"/>
      <w:titlePg/>
      <w:textDirection w:val="lrTb"/>
      <w:docGrid w:type="default" w:linePitch="36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1"/>
    <w:family w:val="swiss"/>
    <w:pitch w:val="default"/>
  </w:font>
  <w:font w:name="Calibri Light">
    <w:charset w:val="01"/>
    <w:family w:val="swiss"/>
    <w:pitch w:val="default"/>
  </w:font>
  <w:font w:name="Open Sans">
    <w:charset w:val="01"/>
    <w:family w:val="swiss"/>
    <w:pitch w:val="default"/>
  </w:font>
  <w:font w:name="Segoe UI">
    <w:charset w:val="01"/>
    <w:family w:val="swiss"/>
    <w:pitch w:val="default"/>
  </w:font>
  <w:font w:name="Arial">
    <w:charset w:val="01"/>
    <w:family w:val="swiss"/>
    <w:pitch w:val="default"/>
  </w:font>
  <w:font w:name="Times New Roman">
    <w:charset w:val="01"/>
    <w:family w:val="swiss"/>
    <w:pitch w:val="default"/>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uzeileSeitenzahl"/>
      <w:rPr/>
    </w:pPr>
    <w:r>
      <w:rPr/>
      <w:fldChar w:fldCharType="begin"/>
    </w:r>
    <w:r>
      <w:rPr/>
      <w:instrText xml:space="preserve"> PAGE </w:instrText>
    </w:r>
    <w:r>
      <w:rPr/>
      <w:fldChar w:fldCharType="separate"/>
    </w:r>
    <w:r>
      <w:rPr/>
      <w:t>2</w:t>
    </w:r>
    <w:r>
      <w:rPr/>
      <w:fldChar w:fldCharType="end"/>
    </w:r>
    <w:r>
      <w:rPr/>
      <w:t xml:space="preserve"> </w:t>
    </w:r>
    <w:r>
      <w:rPr/>
      <w:t xml:space="preserve">von </w:t>
    </w:r>
    <w:r>
      <w:rPr/>
      <w:fldChar w:fldCharType="begin"/>
    </w:r>
    <w:r>
      <w:rPr/>
      <w:instrText xml:space="preserve"> NUMPAGES </w:instrText>
    </w:r>
    <w:r>
      <w:rPr/>
      <w:fldChar w:fldCharType="separate"/>
    </w:r>
    <w:r>
      <w:rPr/>
      <w:t>2</w:t>
    </w:r>
    <w:r>
      <w:rPr/>
      <w:fldChar w:fldCharType="end"/>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uzeileSeitenzahl"/>
      <w:rPr/>
    </w:pPr>
    <w:r>
      <w:rPr/>
      <w:fldChar w:fldCharType="begin"/>
    </w:r>
    <w:r>
      <w:rPr/>
      <w:instrText xml:space="preserve"> PAGE </w:instrText>
    </w:r>
    <w:r>
      <w:rPr/>
      <w:fldChar w:fldCharType="separate"/>
    </w:r>
    <w:r>
      <w:rPr/>
      <w:t>1</w:t>
    </w:r>
    <w:r>
      <w:rPr/>
      <w:fldChar w:fldCharType="end"/>
    </w:r>
    <w:r>
      <w:rPr/>
      <w:t xml:space="preserve"> </w:t>
    </w:r>
    <w:r>
      <w:rPr/>
      <w:t xml:space="preserve">von </w:t>
    </w:r>
    <w:r>
      <w:rPr/>
      <w:fldChar w:fldCharType="begin"/>
    </w:r>
    <w:r>
      <w:rPr/>
      <w:instrText xml:space="preserve"> NUMPAGES </w:instrText>
    </w:r>
    <w:r>
      <w:rPr/>
      <w:fldChar w:fldCharType="separate"/>
    </w:r>
    <w:r>
      <w:rPr/>
      <w:t>2</w:t>
    </w:r>
    <w:r>
      <w:rPr/>
      <w:fldChar w:fldCharType="end"/>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rFonts w:ascii="Arial" w:hAnsi="Arial" w:cs="Arial"/>
      </w:rPr>
    </w:pPr>
    <w:r>
      <w:rPr>
        <w:rFonts w:cs="Arial" w:ascii="Arial" w:hAnsi="Arial"/>
      </w:rPr>
    </w:r>
  </w:p>
  <w:p>
    <w:pPr>
      <w:pStyle w:val="Header"/>
      <w:rPr>
        <w:rFonts w:ascii="Arial" w:hAnsi="Arial" w:cs="Arial"/>
      </w:rPr>
    </w:pPr>
    <w:r>
      <w:rPr>
        <w:rFonts w:cs="Arial" w:ascii="Arial" w:hAnsi="Arial"/>
      </w:rPr>
      <mc:AlternateContent>
        <mc:Choice Requires="wpg">
          <w:drawing>
            <wp:anchor behindDoc="1" distT="0" distB="0" distL="0" distR="0" simplePos="0" locked="0" layoutInCell="0" allowOverlap="1" relativeHeight="2" wp14:anchorId="1AF809DB">
              <wp:simplePos x="0" y="0"/>
              <wp:positionH relativeFrom="margin">
                <wp:align>left</wp:align>
              </wp:positionH>
              <wp:positionV relativeFrom="paragraph">
                <wp:posOffset>12700</wp:posOffset>
              </wp:positionV>
              <wp:extent cx="3138805" cy="947420"/>
              <wp:effectExtent l="0" t="0" r="0" b="0"/>
              <wp:wrapNone/>
              <wp:docPr id="1" name="Gruppieren 13"/>
              <a:graphic xmlns:a="http://schemas.openxmlformats.org/drawingml/2006/main">
                <a:graphicData uri="http://schemas.microsoft.com/office/word/2010/wordprocessingGroup">
                  <wpg:wgp>
                    <wpg:cNvGrpSpPr/>
                    <wpg:grpSpPr>
                      <a:xfrm>
                        <a:off x="0" y="0"/>
                        <a:ext cx="3138840" cy="947520"/>
                        <a:chOff x="0" y="0"/>
                        <a:chExt cx="3138840" cy="947520"/>
                      </a:xfrm>
                    </wpg:grpSpPr>
                    <wps:wsp>
                      <wps:cNvPr id="2" name="Text Box 8"/>
                      <wps:cNvSpPr/>
                      <wps:spPr>
                        <a:xfrm>
                          <a:off x="738360" y="263520"/>
                          <a:ext cx="2400480" cy="684000"/>
                        </a:xfrm>
                        <a:prstGeom prst="rect">
                          <a:avLst/>
                        </a:prstGeom>
                        <a:noFill/>
                        <a:ln w="0">
                          <a:noFill/>
                        </a:ln>
                      </wps:spPr>
                      <wps:style>
                        <a:lnRef idx="0"/>
                        <a:fillRef idx="0"/>
                        <a:effectRef idx="0"/>
                        <a:fontRef idx="minor"/>
                      </wps:style>
                      <wps:txbx>
                        <w:txbxContent>
                          <w:p>
                            <w:pPr>
                              <w:pStyle w:val="Logo-Schriftzge"/>
                              <w:widowControl w:val="false"/>
                              <w:spacing w:lineRule="exact" w:line="180" w:before="20" w:after="0"/>
                              <w:contextualSpacing/>
                              <w:rPr/>
                            </w:pPr>
                            <w:r>
                              <w:rPr/>
                              <w:t>Aufsichtsbehörde für Verwertungsgesellschaften</w:t>
                            </w:r>
                          </w:p>
                          <w:p>
                            <w:pPr>
                              <w:pStyle w:val="Logo-Schriftzge"/>
                              <w:rPr/>
                            </w:pPr>
                            <w:r>
                              <w:rPr/>
                            </w:r>
                          </w:p>
                        </w:txbxContent>
                      </wps:txbx>
                      <wps:bodyPr lIns="0" rIns="0" tIns="0" bIns="0" anchor="t">
                        <a:noAutofit/>
                      </wps:bodyPr>
                    </wps:wsp>
                    <pic:pic xmlns:pic="http://schemas.openxmlformats.org/drawingml/2006/picture">
                      <pic:nvPicPr>
                        <pic:cNvPr id="3" name="B 1" descr=""/>
                        <pic:cNvPicPr/>
                      </pic:nvPicPr>
                      <pic:blipFill>
                        <a:blip r:embed="rId1"/>
                        <a:stretch/>
                      </pic:blipFill>
                      <pic:spPr>
                        <a:xfrm>
                          <a:off x="0" y="0"/>
                          <a:ext cx="716400" cy="645120"/>
                        </a:xfrm>
                        <a:prstGeom prst="rect">
                          <a:avLst/>
                        </a:prstGeom>
                        <a:ln w="0">
                          <a:noFill/>
                        </a:ln>
                      </pic:spPr>
                    </pic:pic>
                  </wpg:wgp>
                </a:graphicData>
              </a:graphic>
            </wp:anchor>
          </w:drawing>
        </mc:Choice>
        <mc:Fallback>
          <w:pict>
            <v:group id="shape_0" alt="Gruppieren 13" style="position:absolute;margin-left:0pt;margin-top:1pt;width:247.15pt;height:74.6pt" coordorigin="0,20" coordsize="4943,1492">
              <v:rect id="shape_0" ID="Text Box 8" path="m0,0l-2147483645,0l-2147483645,-2147483646l0,-2147483646xe" stroked="f" o:allowincell="f" style="position:absolute;left:1163;top:435;width:3779;height:1076;mso-wrap-style:square;v-text-anchor:top;mso-position-horizontal:left;mso-position-horizontal-relative:margin">
                <v:fill o:detectmouseclick="t" on="false"/>
                <v:stroke color="#3465a4" joinstyle="round" endcap="flat"/>
                <v:textbox>
                  <w:txbxContent>
                    <w:p>
                      <w:pPr>
                        <w:pStyle w:val="Logo-Schriftzge"/>
                        <w:widowControl w:val="false"/>
                        <w:spacing w:lineRule="exact" w:line="180" w:before="20" w:after="0"/>
                        <w:contextualSpacing/>
                        <w:rPr/>
                      </w:pPr>
                      <w:r>
                        <w:rPr/>
                        <w:t>Aufsichtsbehörde für Verwertungsgesellschaften</w:t>
                      </w:r>
                    </w:p>
                    <w:p>
                      <w:pPr>
                        <w:pStyle w:val="Logo-Schriftzge"/>
                        <w:rPr/>
                      </w:pPr>
                      <w:r>
                        <w:rPr/>
                      </w:r>
                    </w:p>
                  </w:txbxContent>
                </v:textbox>
                <w10:wrap type="none"/>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_0" ID="B 1" stroked="f" o:allowincell="f" style="position:absolute;left:0;top:20;width:1127;height:1015;mso-wrap-style:none;v-text-anchor:middle;mso-position-horizontal:left;mso-position-horizontal-relative:margin" type="_x0000_t75">
                <v:imagedata r:id="rId2" o:detectmouseclick="t"/>
                <v:stroke color="#3465a4" joinstyle="round" endcap="flat"/>
                <w10:wrap type="none"/>
              </v:shape>
            </v:group>
          </w:pict>
        </mc:Fallback>
      </mc:AlternateContent>
    </w:r>
  </w:p>
  <w:p>
    <w:pPr>
      <w:pStyle w:val="Header"/>
      <w:rPr>
        <w:rFonts w:ascii="Arial" w:hAnsi="Arial" w:cs="Arial"/>
      </w:rPr>
    </w:pPr>
    <w:r>
      <w:rPr>
        <w:rFonts w:cs="Arial" w:ascii="Arial" w:hAnsi="Arial"/>
      </w:rPr>
    </w:r>
  </w:p>
  <w:p>
    <w:pPr>
      <w:pStyle w:val="Header"/>
      <w:rPr>
        <w:rFonts w:ascii="Arial" w:hAnsi="Arial" w:cs="Arial"/>
      </w:rPr>
    </w:pPr>
    <w:r>
      <w:rPr>
        <w:rFonts w:cs="Arial" w:ascii="Arial" w:hAnsi="Arial"/>
      </w:rPr>
    </w:r>
  </w:p>
  <w:p>
    <w:pPr>
      <w:pStyle w:val="Header"/>
      <w:rPr>
        <w:rFonts w:ascii="Arial" w:hAnsi="Arial" w:cs="Arial"/>
      </w:rPr>
    </w:pPr>
    <w:r>
      <w:rPr>
        <w:rFonts w:cs="Arial" w:ascii="Arial" w:hAnsi="Arial"/>
      </w:rPr>
    </w:r>
  </w:p>
  <w:p>
    <w:pPr>
      <w:pStyle w:val="Header"/>
      <w:rPr>
        <w:rFonts w:ascii="Arial" w:hAnsi="Arial" w:cs="Arial"/>
      </w:rPr>
    </w:pPr>
    <w:r>
      <w:rPr>
        <w:rFonts w:cs="Arial" w:ascii="Arial" w:hAnsi="Arial"/>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360" w:hanging="360"/>
      </w:pPr>
      <w:rPr>
        <w:b/>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trackRevisions/>
  <w:defaultTabStop w:val="708"/>
  <w:autoHyphenation w:val="true"/>
  <w:hyphenationZone w:val="425"/>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de-AT"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de-AT" w:eastAsia="en-US"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qFormat="1"/>
    <w:lsdException w:name="toc 2" w:uiPriority="39" w:semiHidden="1" w:unhideWhenUsed="1" w:qFormat="1"/>
    <w:lsdException w:name="toc 3" w:uiPriority="39" w:semiHidden="1" w:unhideWhenUsed="1" w:qFormat="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d3d50"/>
    <w:pPr>
      <w:widowControl/>
      <w:suppressAutoHyphens w:val="true"/>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de-AT" w:eastAsia="en-US" w:bidi="ar-SA"/>
    </w:rPr>
  </w:style>
  <w:style w:type="paragraph" w:styleId="Heading1">
    <w:name w:val="Heading 1"/>
    <w:basedOn w:val="Normal"/>
    <w:next w:val="Normal"/>
    <w:link w:val="berschrift1Zchn"/>
    <w:uiPriority w:val="9"/>
    <w:qFormat/>
    <w:rsid w:val="000d3d50"/>
    <w:pPr>
      <w:keepNext w:val="true"/>
      <w:keepLines/>
      <w:spacing w:before="240" w:after="0"/>
      <w:outlineLvl w:val="0"/>
    </w:pPr>
    <w:rPr>
      <w:rFonts w:ascii="Calibri Light" w:hAnsi="Calibri Light" w:eastAsia="" w:cs="" w:asciiTheme="majorHAnsi" w:cstheme="majorBidi" w:eastAsiaTheme="majorEastAsia" w:hAnsiTheme="majorHAnsi"/>
      <w:color w:themeColor="accent1" w:themeShade="bf" w:val="2E74B5"/>
      <w:sz w:val="32"/>
      <w:szCs w:val="32"/>
    </w:rPr>
  </w:style>
  <w:style w:type="paragraph" w:styleId="Heading2">
    <w:name w:val="Heading 2"/>
    <w:basedOn w:val="Normal"/>
    <w:next w:val="Normal"/>
    <w:link w:val="berschrift2Zchn"/>
    <w:uiPriority w:val="9"/>
    <w:unhideWhenUsed/>
    <w:qFormat/>
    <w:rsid w:val="000d3d50"/>
    <w:pPr>
      <w:keepNext w:val="true"/>
      <w:keepLines/>
      <w:spacing w:before="40" w:after="0"/>
      <w:outlineLvl w:val="1"/>
    </w:pPr>
    <w:rPr>
      <w:rFonts w:ascii="Calibri Light" w:hAnsi="Calibri Light" w:eastAsia="" w:cs="" w:asciiTheme="majorHAnsi" w:cstheme="majorBidi" w:eastAsiaTheme="majorEastAsia" w:hAnsiTheme="majorHAnsi"/>
      <w:color w:themeColor="accent1" w:themeShade="bf" w:val="2E74B5"/>
      <w:sz w:val="26"/>
      <w:szCs w:val="26"/>
    </w:rPr>
  </w:style>
  <w:style w:type="paragraph" w:styleId="Heading3">
    <w:name w:val="Heading 3"/>
    <w:basedOn w:val="Normal"/>
    <w:link w:val="berschrift3Zchn"/>
    <w:uiPriority w:val="9"/>
    <w:qFormat/>
    <w:rsid w:val="005a3ee4"/>
    <w:pPr>
      <w:spacing w:lineRule="auto" w:line="240" w:before="0" w:after="225"/>
      <w:outlineLvl w:val="2"/>
    </w:pPr>
    <w:rPr>
      <w:rFonts w:ascii="Open Sans" w:hAnsi="Open Sans" w:eastAsia="Times New Roman" w:cs="Open Sans"/>
      <w:color w:val="333333"/>
      <w:spacing w:val="30"/>
      <w:sz w:val="30"/>
      <w:szCs w:val="30"/>
      <w:lang w:eastAsia="de-AT"/>
    </w:rPr>
  </w:style>
  <w:style w:type="paragraph" w:styleId="Heading4">
    <w:name w:val="Heading 4"/>
    <w:basedOn w:val="Normal"/>
    <w:link w:val="berschrift4Zchn"/>
    <w:uiPriority w:val="9"/>
    <w:qFormat/>
    <w:rsid w:val="005a3ee4"/>
    <w:pPr>
      <w:spacing w:lineRule="auto" w:line="240" w:before="0" w:after="120"/>
      <w:outlineLvl w:val="3"/>
    </w:pPr>
    <w:rPr>
      <w:rFonts w:ascii="Open Sans" w:hAnsi="Open Sans" w:eastAsia="Times New Roman" w:cs="Open Sans"/>
      <w:color w:val="333333"/>
      <w:spacing w:val="30"/>
      <w:sz w:val="27"/>
      <w:szCs w:val="27"/>
      <w:lang w:eastAsia="de-AT"/>
    </w:rPr>
  </w:style>
  <w:style w:type="character" w:styleId="DefaultParagraphFont" w:default="1">
    <w:name w:val="Default Paragraph Font"/>
    <w:uiPriority w:val="1"/>
    <w:semiHidden/>
    <w:unhideWhenUsed/>
    <w:qFormat/>
    <w:rPr/>
  </w:style>
  <w:style w:type="character" w:styleId="berschrift3Zchn" w:customStyle="1">
    <w:name w:val="Überschrift 3 Zchn"/>
    <w:basedOn w:val="DefaultParagraphFont"/>
    <w:uiPriority w:val="9"/>
    <w:qFormat/>
    <w:rsid w:val="005a3ee4"/>
    <w:rPr>
      <w:rFonts w:ascii="Open Sans" w:hAnsi="Open Sans" w:eastAsia="Times New Roman" w:cs="Open Sans"/>
      <w:color w:val="333333"/>
      <w:spacing w:val="30"/>
      <w:sz w:val="30"/>
      <w:szCs w:val="30"/>
      <w:lang w:eastAsia="de-AT"/>
    </w:rPr>
  </w:style>
  <w:style w:type="character" w:styleId="berschrift4Zchn" w:customStyle="1">
    <w:name w:val="Überschrift 4 Zchn"/>
    <w:basedOn w:val="DefaultParagraphFont"/>
    <w:uiPriority w:val="9"/>
    <w:qFormat/>
    <w:rsid w:val="005a3ee4"/>
    <w:rPr>
      <w:rFonts w:ascii="Open Sans" w:hAnsi="Open Sans" w:eastAsia="Times New Roman" w:cs="Open Sans"/>
      <w:color w:val="333333"/>
      <w:spacing w:val="30"/>
      <w:sz w:val="27"/>
      <w:szCs w:val="27"/>
      <w:lang w:eastAsia="de-AT"/>
    </w:rPr>
  </w:style>
  <w:style w:type="character" w:styleId="Hyperlink">
    <w:name w:val="Hyperlink"/>
    <w:basedOn w:val="DefaultParagraphFont"/>
    <w:uiPriority w:val="99"/>
    <w:unhideWhenUsed/>
    <w:rsid w:val="005a3ee4"/>
    <w:rPr>
      <w:strike w:val="false"/>
      <w:dstrike w:val="false"/>
      <w:color w:val="00A906"/>
      <w:u w:val="none"/>
      <w:effect w:val="none"/>
    </w:rPr>
  </w:style>
  <w:style w:type="character" w:styleId="Emphasis">
    <w:name w:val="Emphasis"/>
    <w:basedOn w:val="DefaultParagraphFont"/>
    <w:uiPriority w:val="20"/>
    <w:qFormat/>
    <w:rsid w:val="005a3ee4"/>
    <w:rPr>
      <w:i/>
      <w:iCs/>
    </w:rPr>
  </w:style>
  <w:style w:type="character" w:styleId="Strong">
    <w:name w:val="Strong"/>
    <w:basedOn w:val="DefaultParagraphFont"/>
    <w:uiPriority w:val="22"/>
    <w:qFormat/>
    <w:rsid w:val="005a3ee4"/>
    <w:rPr>
      <w:b/>
      <w:bCs/>
    </w:rPr>
  </w:style>
  <w:style w:type="character" w:styleId="s1" w:customStyle="1">
    <w:name w:val="s1"/>
    <w:basedOn w:val="DefaultParagraphFont"/>
    <w:qFormat/>
    <w:rsid w:val="005a3ee4"/>
    <w:rPr/>
  </w:style>
  <w:style w:type="character" w:styleId="SprechblasentextZchn" w:customStyle="1">
    <w:name w:val="Sprechblasentext Zchn"/>
    <w:basedOn w:val="DefaultParagraphFont"/>
    <w:link w:val="BalloonText"/>
    <w:uiPriority w:val="99"/>
    <w:semiHidden/>
    <w:qFormat/>
    <w:rsid w:val="005a3ee4"/>
    <w:rPr>
      <w:rFonts w:ascii="Segoe UI" w:hAnsi="Segoe UI" w:cs="Segoe UI"/>
      <w:sz w:val="18"/>
      <w:szCs w:val="18"/>
    </w:rPr>
  </w:style>
  <w:style w:type="character" w:styleId="berschrift2Zchn" w:customStyle="1">
    <w:name w:val="Überschrift 2 Zchn"/>
    <w:basedOn w:val="DefaultParagraphFont"/>
    <w:uiPriority w:val="9"/>
    <w:qFormat/>
    <w:rsid w:val="000d3d50"/>
    <w:rPr>
      <w:rFonts w:ascii="Calibri Light" w:hAnsi="Calibri Light" w:eastAsia="" w:cs="" w:asciiTheme="majorHAnsi" w:cstheme="majorBidi" w:eastAsiaTheme="majorEastAsia" w:hAnsiTheme="majorHAnsi"/>
      <w:color w:themeColor="accent1" w:themeShade="bf" w:val="2E74B5"/>
      <w:sz w:val="26"/>
      <w:szCs w:val="26"/>
    </w:rPr>
  </w:style>
  <w:style w:type="character" w:styleId="berschrift1Zchn" w:customStyle="1">
    <w:name w:val="Überschrift 1 Zchn"/>
    <w:basedOn w:val="DefaultParagraphFont"/>
    <w:uiPriority w:val="9"/>
    <w:qFormat/>
    <w:rsid w:val="000d3d50"/>
    <w:rPr>
      <w:rFonts w:ascii="Calibri Light" w:hAnsi="Calibri Light" w:eastAsia="" w:cs="" w:asciiTheme="majorHAnsi" w:cstheme="majorBidi" w:eastAsiaTheme="majorEastAsia" w:hAnsiTheme="majorHAnsi"/>
      <w:color w:themeColor="accent1" w:themeShade="bf" w:val="2E74B5"/>
      <w:sz w:val="32"/>
      <w:szCs w:val="32"/>
    </w:rPr>
  </w:style>
  <w:style w:type="character" w:styleId="FunotentextZchn" w:customStyle="1">
    <w:name w:val="Fußnotentext Zchn"/>
    <w:basedOn w:val="DefaultParagraphFont"/>
    <w:uiPriority w:val="99"/>
    <w:semiHidden/>
    <w:qFormat/>
    <w:rsid w:val="000d3d50"/>
    <w:rPr>
      <w:sz w:val="20"/>
      <w:szCs w:val="20"/>
    </w:rPr>
  </w:style>
  <w:style w:type="character" w:styleId="Funotenzeichen">
    <w:name w:val="Fußnotenzeichen"/>
    <w:qFormat/>
    <w:rPr>
      <w:vertAlign w:val="superscript"/>
    </w:rPr>
  </w:style>
  <w:style w:type="character" w:styleId="FootnoteReference">
    <w:name w:val="Footnote Reference"/>
    <w:rPr>
      <w:vertAlign w:val="superscript"/>
    </w:rPr>
  </w:style>
  <w:style w:type="character" w:styleId="KopfzeileZchn" w:customStyle="1">
    <w:name w:val="Kopfzeile Zchn"/>
    <w:basedOn w:val="DefaultParagraphFont"/>
    <w:uiPriority w:val="99"/>
    <w:qFormat/>
    <w:rsid w:val="000d3d50"/>
    <w:rPr/>
  </w:style>
  <w:style w:type="character" w:styleId="FuzeileZchn" w:customStyle="1">
    <w:name w:val="Fußzeile Zchn"/>
    <w:basedOn w:val="DefaultParagraphFont"/>
    <w:qFormat/>
    <w:rsid w:val="000d3d50"/>
    <w:rPr/>
  </w:style>
  <w:style w:type="character" w:styleId="ZitatZchn" w:customStyle="1">
    <w:name w:val="Zitat Zchn"/>
    <w:basedOn w:val="DefaultParagraphFont"/>
    <w:link w:val="Quote"/>
    <w:uiPriority w:val="29"/>
    <w:qFormat/>
    <w:rsid w:val="000d3d50"/>
    <w:rPr>
      <w:i/>
      <w:iCs/>
      <w:color w:themeColor="text1" w:val="000000"/>
    </w:rPr>
  </w:style>
  <w:style w:type="character" w:styleId="multilink" w:customStyle="1">
    <w:name w:val="multilink"/>
    <w:basedOn w:val="DefaultParagraphFont"/>
    <w:qFormat/>
    <w:rsid w:val="000d3d50"/>
    <w:rPr/>
  </w:style>
  <w:style w:type="character" w:styleId="multilink-targets" w:customStyle="1">
    <w:name w:val="multilink-targets"/>
    <w:basedOn w:val="DefaultParagraphFont"/>
    <w:qFormat/>
    <w:rsid w:val="000d3d50"/>
    <w:rPr/>
  </w:style>
  <w:style w:type="character" w:styleId="gesetznormueberschrift" w:customStyle="1">
    <w:name w:val="gesetz_normueberschrift"/>
    <w:basedOn w:val="DefaultParagraphFont"/>
    <w:qFormat/>
    <w:rsid w:val="000d3d50"/>
    <w:rPr/>
  </w:style>
  <w:style w:type="character" w:styleId="annotationreference">
    <w:name w:val="annotation reference"/>
    <w:basedOn w:val="DefaultParagraphFont"/>
    <w:uiPriority w:val="99"/>
    <w:semiHidden/>
    <w:unhideWhenUsed/>
    <w:qFormat/>
    <w:rsid w:val="00cd4f59"/>
    <w:rPr>
      <w:sz w:val="16"/>
      <w:szCs w:val="16"/>
    </w:rPr>
  </w:style>
  <w:style w:type="character" w:styleId="KommentartextZchn" w:customStyle="1">
    <w:name w:val="Kommentartext Zchn"/>
    <w:basedOn w:val="DefaultParagraphFont"/>
    <w:uiPriority w:val="99"/>
    <w:semiHidden/>
    <w:qFormat/>
    <w:rsid w:val="00cd4f59"/>
    <w:rPr>
      <w:sz w:val="20"/>
      <w:szCs w:val="20"/>
    </w:rPr>
  </w:style>
  <w:style w:type="character" w:styleId="LineNumber">
    <w:name w:val="Line Number"/>
    <w:rPr/>
  </w:style>
  <w:style w:type="paragraph" w:styleId="berschrift" w:customStyle="1">
    <w:name w:val="Überschrift"/>
    <w:basedOn w:val="Normal"/>
    <w:next w:val="BodyText"/>
    <w:qFormat/>
    <w:pPr>
      <w:keepNext w:val="true"/>
      <w:spacing w:before="240" w:after="120"/>
    </w:pPr>
    <w:rPr>
      <w:rFonts w:eastAsia="Microsoft YaHei" w:cs="Lucida Sans"/>
      <w:sz w:val="28"/>
      <w:szCs w:val="28"/>
    </w:rPr>
  </w:style>
  <w:style w:type="paragraph" w:styleId="BodyText">
    <w:name w:val="Body Text"/>
    <w:basedOn w:val="Normal"/>
    <w:pPr>
      <w:spacing w:before="0" w:after="140"/>
    </w:pPr>
    <w:rPr/>
  </w:style>
  <w:style w:type="paragraph" w:styleId="List">
    <w:name w:val="List"/>
    <w:basedOn w:val="BodyText"/>
    <w:pPr/>
    <w:rPr>
      <w:rFonts w:ascii="Arial" w:hAnsi="Arial" w:cs="Lucida Sans"/>
    </w:rPr>
  </w:style>
  <w:style w:type="paragraph" w:styleId="Caption">
    <w:name w:val="Caption"/>
    <w:basedOn w:val="Normal"/>
    <w:qFormat/>
    <w:pPr>
      <w:suppressLineNumbers/>
      <w:spacing w:before="120" w:after="120"/>
    </w:pPr>
    <w:rPr>
      <w:rFonts w:ascii="Arial" w:hAnsi="Arial" w:cs="Lucida Sans"/>
      <w:i/>
      <w:iCs/>
      <w:sz w:val="24"/>
      <w:szCs w:val="24"/>
    </w:rPr>
  </w:style>
  <w:style w:type="paragraph" w:styleId="Verzeichnis" w:customStyle="1">
    <w:name w:val="Verzeichnis"/>
    <w:basedOn w:val="Normal"/>
    <w:qFormat/>
    <w:pPr>
      <w:suppressLineNumbers/>
    </w:pPr>
    <w:rPr>
      <w:rFonts w:ascii="Arial" w:hAnsi="Arial" w:cs="Lucida Sans"/>
    </w:rPr>
  </w:style>
  <w:style w:type="paragraph" w:styleId="NormalWeb">
    <w:name w:val="Normal (Web)"/>
    <w:basedOn w:val="Normal"/>
    <w:uiPriority w:val="99"/>
    <w:unhideWhenUsed/>
    <w:qFormat/>
    <w:rsid w:val="005a3ee4"/>
    <w:pPr>
      <w:spacing w:lineRule="atLeast" w:line="384" w:before="0" w:after="225"/>
    </w:pPr>
    <w:rPr>
      <w:rFonts w:ascii="Times New Roman" w:hAnsi="Times New Roman" w:eastAsia="Times New Roman" w:cs="Times New Roman"/>
      <w:sz w:val="24"/>
      <w:szCs w:val="24"/>
      <w:lang w:eastAsia="de-AT"/>
    </w:rPr>
  </w:style>
  <w:style w:type="paragraph" w:styleId="p1" w:customStyle="1">
    <w:name w:val="p1"/>
    <w:basedOn w:val="Normal"/>
    <w:qFormat/>
    <w:rsid w:val="005a3ee4"/>
    <w:pPr>
      <w:spacing w:lineRule="atLeast" w:line="384" w:before="0" w:after="225"/>
    </w:pPr>
    <w:rPr>
      <w:rFonts w:ascii="Times New Roman" w:hAnsi="Times New Roman" w:eastAsia="Times New Roman" w:cs="Times New Roman"/>
      <w:sz w:val="24"/>
      <w:szCs w:val="24"/>
      <w:lang w:eastAsia="de-AT"/>
    </w:rPr>
  </w:style>
  <w:style w:type="paragraph" w:styleId="wp-caption-text" w:customStyle="1">
    <w:name w:val="wp-caption-text"/>
    <w:basedOn w:val="Normal"/>
    <w:qFormat/>
    <w:rsid w:val="005a3ee4"/>
    <w:pPr>
      <w:spacing w:lineRule="atLeast" w:line="384" w:before="0" w:after="225"/>
    </w:pPr>
    <w:rPr>
      <w:rFonts w:ascii="Times New Roman" w:hAnsi="Times New Roman" w:eastAsia="Times New Roman" w:cs="Times New Roman"/>
      <w:sz w:val="24"/>
      <w:szCs w:val="24"/>
      <w:lang w:eastAsia="de-AT"/>
    </w:rPr>
  </w:style>
  <w:style w:type="paragraph" w:styleId="BalloonText">
    <w:name w:val="Balloon Text"/>
    <w:basedOn w:val="Normal"/>
    <w:link w:val="SprechblasentextZchn"/>
    <w:uiPriority w:val="99"/>
    <w:semiHidden/>
    <w:unhideWhenUsed/>
    <w:qFormat/>
    <w:rsid w:val="005a3ee4"/>
    <w:pPr>
      <w:spacing w:lineRule="auto" w:line="240" w:before="0" w:after="0"/>
    </w:pPr>
    <w:rPr>
      <w:rFonts w:ascii="Segoe UI" w:hAnsi="Segoe UI" w:cs="Segoe UI"/>
      <w:sz w:val="18"/>
      <w:szCs w:val="18"/>
    </w:rPr>
  </w:style>
  <w:style w:type="paragraph" w:styleId="FootnoteText">
    <w:name w:val="Footnote Text"/>
    <w:basedOn w:val="Normal"/>
    <w:link w:val="FunotentextZchn"/>
    <w:uiPriority w:val="99"/>
    <w:semiHidden/>
    <w:unhideWhenUsed/>
    <w:rsid w:val="000d3d50"/>
    <w:pPr>
      <w:spacing w:lineRule="auto" w:line="240" w:before="0" w:after="0"/>
    </w:pPr>
    <w:rPr>
      <w:sz w:val="20"/>
      <w:szCs w:val="20"/>
    </w:rPr>
  </w:style>
  <w:style w:type="paragraph" w:styleId="Kopf-Fuzeile" w:customStyle="1">
    <w:name w:val="Kopf-/Fußzeile"/>
    <w:basedOn w:val="Normal"/>
    <w:qFormat/>
    <w:pPr/>
    <w:rPr/>
  </w:style>
  <w:style w:type="paragraph" w:styleId="Header">
    <w:name w:val="Header"/>
    <w:basedOn w:val="Normal"/>
    <w:link w:val="KopfzeileZchn"/>
    <w:uiPriority w:val="99"/>
    <w:unhideWhenUsed/>
    <w:rsid w:val="000d3d50"/>
    <w:pPr>
      <w:tabs>
        <w:tab w:val="clear" w:pos="708"/>
        <w:tab w:val="center" w:pos="4536" w:leader="none"/>
        <w:tab w:val="right" w:pos="9072" w:leader="none"/>
      </w:tabs>
      <w:spacing w:lineRule="auto" w:line="240" w:before="0" w:after="0"/>
    </w:pPr>
    <w:rPr/>
  </w:style>
  <w:style w:type="paragraph" w:styleId="Footer">
    <w:name w:val="Footer"/>
    <w:basedOn w:val="Normal"/>
    <w:link w:val="FuzeileZchn"/>
    <w:unhideWhenUsed/>
    <w:rsid w:val="000d3d50"/>
    <w:pPr>
      <w:tabs>
        <w:tab w:val="clear" w:pos="708"/>
        <w:tab w:val="center" w:pos="4536" w:leader="none"/>
        <w:tab w:val="right" w:pos="9072" w:leader="none"/>
      </w:tabs>
      <w:spacing w:lineRule="auto" w:line="240" w:before="0" w:after="0"/>
    </w:pPr>
    <w:rPr/>
  </w:style>
  <w:style w:type="paragraph" w:styleId="ListParagraph">
    <w:name w:val="List Paragraph"/>
    <w:basedOn w:val="Normal"/>
    <w:uiPriority w:val="34"/>
    <w:qFormat/>
    <w:rsid w:val="000d3d50"/>
    <w:pPr>
      <w:spacing w:before="0" w:after="200"/>
      <w:ind w:left="720"/>
      <w:contextualSpacing/>
    </w:pPr>
    <w:rPr/>
  </w:style>
  <w:style w:type="paragraph" w:styleId="IndexHeading">
    <w:name w:val="Index Heading"/>
    <w:basedOn w:val="berschrift"/>
    <w:pPr/>
    <w:rPr/>
  </w:style>
  <w:style w:type="paragraph" w:styleId="TOCHeading">
    <w:name w:val="TOC Heading"/>
    <w:basedOn w:val="Heading1"/>
    <w:next w:val="Normal"/>
    <w:uiPriority w:val="39"/>
    <w:semiHidden/>
    <w:unhideWhenUsed/>
    <w:qFormat/>
    <w:rsid w:val="000d3d50"/>
    <w:pPr>
      <w:spacing w:before="480" w:after="0"/>
      <w:outlineLvl w:val="9"/>
    </w:pPr>
    <w:rPr>
      <w:b/>
      <w:bCs/>
      <w:sz w:val="28"/>
      <w:szCs w:val="28"/>
      <w:lang w:eastAsia="de-AT"/>
    </w:rPr>
  </w:style>
  <w:style w:type="paragraph" w:styleId="TOC2">
    <w:name w:val="TOC 2"/>
    <w:basedOn w:val="Normal"/>
    <w:next w:val="Normal"/>
    <w:autoRedefine/>
    <w:uiPriority w:val="39"/>
    <w:unhideWhenUsed/>
    <w:qFormat/>
    <w:rsid w:val="000d3d50"/>
    <w:pPr>
      <w:spacing w:before="0" w:after="100"/>
    </w:pPr>
    <w:rPr>
      <w:rFonts w:ascii="Arial" w:hAnsi="Arial" w:eastAsia="" w:eastAsiaTheme="minorEastAsia"/>
      <w:lang w:eastAsia="de-AT"/>
    </w:rPr>
  </w:style>
  <w:style w:type="paragraph" w:styleId="TOC1">
    <w:name w:val="TOC 1"/>
    <w:basedOn w:val="Normal"/>
    <w:next w:val="Normal"/>
    <w:autoRedefine/>
    <w:uiPriority w:val="39"/>
    <w:unhideWhenUsed/>
    <w:qFormat/>
    <w:rsid w:val="000d3d50"/>
    <w:pPr>
      <w:spacing w:before="0" w:after="100"/>
    </w:pPr>
    <w:rPr>
      <w:rFonts w:ascii="Arial" w:hAnsi="Arial" w:eastAsia="" w:eastAsiaTheme="minorEastAsia"/>
      <w:lang w:eastAsia="de-AT"/>
    </w:rPr>
  </w:style>
  <w:style w:type="paragraph" w:styleId="TOC3">
    <w:name w:val="TOC 3"/>
    <w:basedOn w:val="Normal"/>
    <w:next w:val="Normal"/>
    <w:autoRedefine/>
    <w:uiPriority w:val="39"/>
    <w:semiHidden/>
    <w:unhideWhenUsed/>
    <w:qFormat/>
    <w:rsid w:val="000d3d50"/>
    <w:pPr>
      <w:spacing w:before="0" w:after="100"/>
      <w:ind w:left="440"/>
    </w:pPr>
    <w:rPr>
      <w:rFonts w:eastAsia="" w:eastAsiaTheme="minorEastAsia"/>
      <w:lang w:eastAsia="de-AT"/>
    </w:rPr>
  </w:style>
  <w:style w:type="paragraph" w:styleId="NoSpacing">
    <w:name w:val="No Spacing"/>
    <w:uiPriority w:val="1"/>
    <w:qFormat/>
    <w:rsid w:val="000d3d50"/>
    <w:pPr>
      <w:widowControl/>
      <w:suppressAutoHyphens w:val="true"/>
      <w:bidi w:val="0"/>
      <w:spacing w:before="0" w:after="0"/>
      <w:jc w:val="left"/>
    </w:pPr>
    <w:rPr>
      <w:rFonts w:ascii="Calibri" w:hAnsi="Calibri" w:eastAsia="Calibri" w:cs="" w:asciiTheme="minorHAnsi" w:cstheme="minorBidi" w:eastAsiaTheme="minorHAnsi" w:hAnsiTheme="minorHAnsi"/>
      <w:color w:val="auto"/>
      <w:kern w:val="0"/>
      <w:sz w:val="22"/>
      <w:szCs w:val="22"/>
      <w:lang w:val="de-AT" w:eastAsia="en-US" w:bidi="ar-SA"/>
    </w:rPr>
  </w:style>
  <w:style w:type="paragraph" w:styleId="Quote">
    <w:name w:val="Quote"/>
    <w:basedOn w:val="Normal"/>
    <w:next w:val="Normal"/>
    <w:link w:val="ZitatZchn"/>
    <w:uiPriority w:val="29"/>
    <w:qFormat/>
    <w:rsid w:val="000d3d50"/>
    <w:pPr/>
    <w:rPr>
      <w:i/>
      <w:iCs/>
      <w:color w:themeColor="text1" w:val="000000"/>
    </w:rPr>
  </w:style>
  <w:style w:type="paragraph" w:styleId="printable-content" w:customStyle="1">
    <w:name w:val="printable-content"/>
    <w:basedOn w:val="Normal"/>
    <w:qFormat/>
    <w:rsid w:val="000d3d50"/>
    <w:pPr>
      <w:spacing w:lineRule="auto" w:line="240" w:beforeAutospacing="1" w:afterAutospacing="1"/>
    </w:pPr>
    <w:rPr>
      <w:rFonts w:ascii="Times New Roman" w:hAnsi="Times New Roman" w:eastAsia="Times New Roman" w:cs="Times New Roman"/>
      <w:sz w:val="24"/>
      <w:szCs w:val="24"/>
      <w:lang w:eastAsia="de-AT"/>
    </w:rPr>
  </w:style>
  <w:style w:type="paragraph" w:styleId="aufz1" w:customStyle="1">
    <w:name w:val="aufz1"/>
    <w:basedOn w:val="Normal"/>
    <w:qFormat/>
    <w:rsid w:val="000d3d50"/>
    <w:pPr>
      <w:spacing w:lineRule="auto" w:line="240" w:beforeAutospacing="1" w:afterAutospacing="1"/>
    </w:pPr>
    <w:rPr>
      <w:rFonts w:ascii="Times New Roman" w:hAnsi="Times New Roman" w:eastAsia="Times New Roman" w:cs="Times New Roman"/>
      <w:sz w:val="24"/>
      <w:szCs w:val="24"/>
      <w:lang w:eastAsia="de-AT"/>
    </w:rPr>
  </w:style>
  <w:style w:type="paragraph" w:styleId="Logo-Schriftzge" w:customStyle="1">
    <w:name w:val="Logo-Schriftzüge"/>
    <w:basedOn w:val="Normal"/>
    <w:qFormat/>
    <w:rsid w:val="000d3d50"/>
    <w:pPr>
      <w:widowControl w:val="false"/>
      <w:tabs>
        <w:tab w:val="clear" w:pos="708"/>
        <w:tab w:val="left" w:pos="0" w:leader="none"/>
        <w:tab w:val="left" w:pos="1410" w:leader="none"/>
      </w:tabs>
      <w:spacing w:lineRule="exact" w:line="180" w:before="20" w:after="0"/>
      <w:contextualSpacing/>
    </w:pPr>
    <w:rPr>
      <w:rFonts w:ascii="Arial" w:hAnsi="Arial" w:eastAsia="Times New Roman" w:cs="Arial"/>
      <w:b/>
      <w:caps/>
      <w:sz w:val="18"/>
      <w:szCs w:val="18"/>
    </w:rPr>
  </w:style>
  <w:style w:type="paragraph" w:styleId="FuzeileSeitenzahl" w:customStyle="1">
    <w:name w:val="Fußzeile Seitenzahl"/>
    <w:basedOn w:val="Normal"/>
    <w:qFormat/>
    <w:rsid w:val="000d3d50"/>
    <w:pPr>
      <w:widowControl w:val="false"/>
      <w:pBdr>
        <w:top w:val="single" w:sz="4" w:space="1" w:color="666666"/>
      </w:pBdr>
      <w:spacing w:lineRule="auto" w:line="240" w:before="0" w:after="0"/>
      <w:jc w:val="right"/>
    </w:pPr>
    <w:rPr>
      <w:rFonts w:ascii="Arial" w:hAnsi="Arial" w:eastAsia="Times New Roman" w:cs="Times New Roman"/>
      <w:b/>
      <w:color w:val="666666"/>
      <w:sz w:val="16"/>
      <w:szCs w:val="24"/>
    </w:rPr>
  </w:style>
  <w:style w:type="paragraph" w:styleId="AnnotationText">
    <w:name w:val="Annotation Text"/>
    <w:basedOn w:val="Normal"/>
    <w:link w:val="KommentartextZchn"/>
    <w:uiPriority w:val="99"/>
    <w:semiHidden/>
    <w:unhideWhenUsed/>
    <w:rsid w:val="00cd4f59"/>
    <w:pPr>
      <w:spacing w:lineRule="auto" w:line="240"/>
    </w:pPr>
    <w:rPr>
      <w:sz w:val="20"/>
      <w:szCs w:val="20"/>
    </w:rPr>
  </w:style>
  <w:style w:type="paragraph" w:styleId="Rahmeninhalt" w:customStyle="1">
    <w:name w:val="Rahmeninhalt"/>
    <w:basedOn w:val="Normal"/>
    <w:qFormat/>
    <w:pPr/>
    <w:rPr/>
  </w:style>
  <w:style w:type="paragraph" w:styleId="Revision">
    <w:name w:val="Revision"/>
    <w:uiPriority w:val="99"/>
    <w:semiHidden/>
    <w:qFormat/>
    <w:rsid w:val="00171578"/>
    <w:pPr>
      <w:widowControl/>
      <w:suppressAutoHyphens w:val="false"/>
      <w:bidi w:val="0"/>
      <w:spacing w:before="0" w:after="0"/>
      <w:jc w:val="left"/>
    </w:pPr>
    <w:rPr>
      <w:rFonts w:ascii="Calibri" w:hAnsi="Calibri" w:eastAsia="Calibri" w:cs="" w:asciiTheme="minorHAnsi" w:cstheme="minorBidi" w:eastAsiaTheme="minorHAnsi" w:hAnsiTheme="minorHAnsi"/>
      <w:color w:val="auto"/>
      <w:kern w:val="0"/>
      <w:sz w:val="22"/>
      <w:szCs w:val="22"/>
      <w:lang w:val="de-AT" w:eastAsia="en-US" w:bidi="ar-SA"/>
    </w:rPr>
  </w:style>
  <w:style w:type="numbering" w:styleId="KeineListe" w:default="1">
    <w:name w:val="Keine Liste"/>
    <w:uiPriority w:val="99"/>
    <w:semiHidden/>
    <w:unhideWhenUsed/>
    <w:qFormat/>
  </w:style>
  <w:style w:type="table" w:default="1" w:styleId="NormaleTabelle">
    <w:name w:val="Normal Table"/>
    <w:uiPriority w:val="99"/>
    <w:semiHidden/>
    <w:unhideWhenUsed/>
    <w:tblPr>
      <w:tblCellMar>
        <w:top w:w="0" w:type="dxa"/>
        <w:left w:w="108" w:type="dxa"/>
        <w:bottom w:w="0" w:type="dxa"/>
        <w:right w:w="108" w:type="dxa"/>
      </w:tblCellMar>
    </w:tblPr>
  </w:style>
  <w:style w:type="table" w:styleId="Tabellenraster">
    <w:name w:val="Table Grid"/>
    <w:basedOn w:val="NormaleTabelle"/>
    <w:uiPriority w:val="59"/>
    <w:rsid w:val="000d3d5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numbering" Target="numbering.xml"/><Relationship Id="rId9" Type="http://schemas.openxmlformats.org/officeDocument/2006/relationships/fontTable" Target="fontTable.xml"/><Relationship Id="rId10" Type="http://schemas.openxmlformats.org/officeDocument/2006/relationships/settings" Target="settings.xml"/><Relationship Id="rId11" Type="http://schemas.openxmlformats.org/officeDocument/2006/relationships/theme" Target="theme/theme1.xml"/>
</Relationships>
</file>

<file path=word/_rels/header3.xml.rels><?xml version="1.0" encoding="UTF-8"?>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1.jpeg"/>
</Relationships>
</file>

<file path=word/theme/theme1.xml><?xml version="1.0" encoding="utf-8"?>
<a:theme xmlns:a="http://schemas.openxmlformats.org/drawingml/2006/main" xmlns:r="http://schemas.openxmlformats.org/officeDocument/2006/relationships"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2</TotalTime>
  <Application>LibreOffice/24.2.15.0$Windows_X86_64 LibreOffice_project/6e153a36bbc1b02e6f51b8a765c7a7238a832bb2</Application>
  <AppVersion>15.0000</AppVersion>
  <Pages>2</Pages>
  <Words>391</Words>
  <Characters>2513</Characters>
  <CharactersWithSpaces>2878</CharactersWithSpaces>
  <Paragraphs>21</Paragraphs>
  <Company>Bundesministerium für Justiz</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2026-05-22T08:30:00Z</dcterms:created>
  <dc:creator>Aufsichtsbehörde</dc:creator>
  <dc:description/>
  <dc:language>de-AT</dc:language>
  <cp:lastModifiedBy/>
  <cp:lastPrinted>2026-05-22T08:15:00Z</cp:lastPrinted>
  <dcterms:modified xsi:type="dcterms:W3CDTF">2026-05-26T06:52:35Z</dcterms:modified>
  <cp:revision>7</cp:revision>
  <dc:subject/>
  <dc:title>Beiratsbericht 2020</dc:title>
</cp:coreProperties>
</file>

<file path=docProps/custom.xml><?xml version="1.0" encoding="utf-8"?>
<Properties xmlns="http://schemas.openxmlformats.org/officeDocument/2006/custom-properties" xmlns:vt="http://schemas.openxmlformats.org/officeDocument/2006/docPropsVTypes"/>
</file>